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59" w:rsidRDefault="005B7136">
      <w:pPr>
        <w:pStyle w:val="GvdeMetni"/>
        <w:spacing w:before="76"/>
        <w:ind w:left="4038" w:right="3495"/>
        <w:jc w:val="center"/>
      </w:pPr>
      <w:r>
        <w:t>T.C.</w:t>
      </w:r>
    </w:p>
    <w:p w:rsidR="007E5B59" w:rsidRDefault="00340BDF">
      <w:pPr>
        <w:pStyle w:val="GvdeMetni"/>
        <w:spacing w:before="2" w:line="252" w:lineRule="exact"/>
        <w:ind w:left="4038" w:right="3496"/>
        <w:jc w:val="center"/>
      </w:pPr>
      <w:r>
        <w:t>SAMSUN</w:t>
      </w:r>
      <w:r w:rsidR="005B7136">
        <w:rPr>
          <w:spacing w:val="-13"/>
        </w:rPr>
        <w:t xml:space="preserve"> </w:t>
      </w:r>
      <w:r w:rsidR="005B7136">
        <w:t>ÜNİVERSİTESİ</w:t>
      </w:r>
    </w:p>
    <w:p w:rsidR="007E5B59" w:rsidRDefault="005B7136">
      <w:pPr>
        <w:pStyle w:val="GvdeMetni"/>
        <w:spacing w:line="252" w:lineRule="exact"/>
        <w:ind w:left="4038" w:right="3495"/>
        <w:jc w:val="center"/>
      </w:pPr>
      <w:r>
        <w:t>Personel Daire</w:t>
      </w:r>
      <w:r>
        <w:rPr>
          <w:spacing w:val="-13"/>
        </w:rPr>
        <w:t xml:space="preserve"> </w:t>
      </w:r>
      <w:r>
        <w:t>Başkanlığı</w:t>
      </w:r>
      <w:bookmarkStart w:id="0" w:name="_GoBack"/>
      <w:bookmarkEnd w:id="0"/>
    </w:p>
    <w:p w:rsidR="007E5B59" w:rsidRDefault="007E5B59">
      <w:pPr>
        <w:pStyle w:val="GvdeMetni"/>
        <w:rPr>
          <w:sz w:val="20"/>
        </w:rPr>
      </w:pPr>
    </w:p>
    <w:p w:rsidR="007E5B59" w:rsidRDefault="007E5B59">
      <w:pPr>
        <w:pStyle w:val="GvdeMetni"/>
        <w:rPr>
          <w:sz w:val="20"/>
        </w:rPr>
      </w:pPr>
    </w:p>
    <w:p w:rsidR="007E5B59" w:rsidRDefault="007E5B59">
      <w:pPr>
        <w:pStyle w:val="GvdeMetni"/>
        <w:rPr>
          <w:sz w:val="20"/>
        </w:rPr>
      </w:pPr>
    </w:p>
    <w:p w:rsidR="007E5B59" w:rsidRDefault="007E5B59">
      <w:pPr>
        <w:pStyle w:val="GvdeMetni"/>
        <w:rPr>
          <w:sz w:val="20"/>
        </w:rPr>
      </w:pPr>
    </w:p>
    <w:p w:rsidR="007E5B59" w:rsidRDefault="007E5B59">
      <w:pPr>
        <w:pStyle w:val="GvdeMetni"/>
        <w:rPr>
          <w:sz w:val="20"/>
        </w:rPr>
      </w:pPr>
    </w:p>
    <w:p w:rsidR="007E5B59" w:rsidRDefault="007E5B59">
      <w:pPr>
        <w:pStyle w:val="GvdeMetni"/>
        <w:rPr>
          <w:sz w:val="20"/>
        </w:rPr>
      </w:pPr>
    </w:p>
    <w:p w:rsidR="007E5B59" w:rsidRDefault="007E5B59">
      <w:pPr>
        <w:pStyle w:val="GvdeMetni"/>
        <w:spacing w:before="7"/>
        <w:rPr>
          <w:sz w:val="13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7117"/>
      </w:tblGrid>
      <w:tr w:rsidR="007E5B59">
        <w:trPr>
          <w:trHeight w:val="328"/>
        </w:trPr>
        <w:tc>
          <w:tcPr>
            <w:tcW w:w="9200" w:type="dxa"/>
            <w:gridSpan w:val="2"/>
          </w:tcPr>
          <w:p w:rsidR="007E5B59" w:rsidRDefault="005B7136">
            <w:pPr>
              <w:pStyle w:val="TableParagraph"/>
              <w:spacing w:line="308" w:lineRule="exact"/>
              <w:ind w:left="1061" w:right="10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İHRAÇ EDİLİP İADE EDİLENLERİN HİTAP İŞLEM SÜRECİ</w:t>
            </w:r>
          </w:p>
        </w:tc>
      </w:tr>
      <w:tr w:rsidR="007E5B59">
        <w:trPr>
          <w:trHeight w:val="1641"/>
        </w:trPr>
        <w:tc>
          <w:tcPr>
            <w:tcW w:w="2083" w:type="dxa"/>
          </w:tcPr>
          <w:p w:rsidR="007E5B59" w:rsidRDefault="005B7136">
            <w:pPr>
              <w:pStyle w:val="TableParagraph"/>
              <w:ind w:left="0"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 AŞAMA</w:t>
            </w:r>
          </w:p>
        </w:tc>
        <w:tc>
          <w:tcPr>
            <w:tcW w:w="7117" w:type="dxa"/>
          </w:tcPr>
          <w:p w:rsidR="007E5B59" w:rsidRDefault="005B7136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İhraç edilip göreve edilen personel için ihraç eden üniversiteye göreve başladığı bilgisi verilerek, açığa alındığı süre ile iade edildiği süre arasındaki aylıklarının ve kesenek farklarının ödenerek Üniversiteye (iade</w:t>
            </w:r>
          </w:p>
          <w:p w:rsidR="007E5B59" w:rsidRDefault="005B7136">
            <w:pPr>
              <w:pStyle w:val="TableParagraph"/>
              <w:spacing w:before="1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edilene</w:t>
            </w:r>
            <w:proofErr w:type="gramEnd"/>
            <w:r>
              <w:rPr>
                <w:sz w:val="28"/>
              </w:rPr>
              <w:t xml:space="preserve">) ve </w:t>
            </w:r>
            <w:proofErr w:type="spellStart"/>
            <w:r>
              <w:rPr>
                <w:sz w:val="28"/>
              </w:rPr>
              <w:t>SGK’ya</w:t>
            </w:r>
            <w:proofErr w:type="spellEnd"/>
            <w:r>
              <w:rPr>
                <w:sz w:val="28"/>
              </w:rPr>
              <w:t xml:space="preserve"> bilgi verilmesi ta</w:t>
            </w:r>
            <w:r>
              <w:rPr>
                <w:sz w:val="28"/>
              </w:rPr>
              <w:t>lep edilir.</w:t>
            </w:r>
          </w:p>
        </w:tc>
      </w:tr>
      <w:tr w:rsidR="007E5B59">
        <w:trPr>
          <w:trHeight w:val="986"/>
        </w:trPr>
        <w:tc>
          <w:tcPr>
            <w:tcW w:w="2083" w:type="dxa"/>
          </w:tcPr>
          <w:p w:rsidR="007E5B59" w:rsidRDefault="005B7136">
            <w:pPr>
              <w:pStyle w:val="TableParagraph"/>
              <w:ind w:left="0"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 AŞAMA</w:t>
            </w:r>
          </w:p>
        </w:tc>
        <w:tc>
          <w:tcPr>
            <w:tcW w:w="7117" w:type="dxa"/>
          </w:tcPr>
          <w:p w:rsidR="007E5B59" w:rsidRDefault="005B7136">
            <w:pPr>
              <w:pStyle w:val="TableParagraph"/>
              <w:spacing w:before="3" w:line="328" w:lineRule="exact"/>
              <w:ind w:right="93"/>
              <w:rPr>
                <w:sz w:val="28"/>
              </w:rPr>
            </w:pPr>
            <w:r>
              <w:rPr>
                <w:sz w:val="28"/>
              </w:rPr>
              <w:t xml:space="preserve">Ödeme işlemleri tamamlandıktan sonra Rektörlük Makamından </w:t>
            </w:r>
            <w:proofErr w:type="spellStart"/>
            <w:r>
              <w:rPr>
                <w:sz w:val="28"/>
              </w:rPr>
              <w:t>SGK’nın</w:t>
            </w:r>
            <w:proofErr w:type="spellEnd"/>
            <w:r>
              <w:rPr>
                <w:sz w:val="28"/>
              </w:rPr>
              <w:t xml:space="preserve"> bu konudaki duyurusuna atıf yapılarak açık ve ihraç kayıtlarını silme onayı alınır.</w:t>
            </w:r>
          </w:p>
        </w:tc>
      </w:tr>
      <w:tr w:rsidR="007E5B59">
        <w:trPr>
          <w:trHeight w:val="1311"/>
        </w:trPr>
        <w:tc>
          <w:tcPr>
            <w:tcW w:w="2083" w:type="dxa"/>
          </w:tcPr>
          <w:p w:rsidR="007E5B59" w:rsidRDefault="005B7136">
            <w:pPr>
              <w:pStyle w:val="TableParagraph"/>
              <w:spacing w:line="327" w:lineRule="exact"/>
              <w:ind w:left="0"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 AŞAMA</w:t>
            </w:r>
          </w:p>
        </w:tc>
        <w:tc>
          <w:tcPr>
            <w:tcW w:w="7117" w:type="dxa"/>
          </w:tcPr>
          <w:p w:rsidR="007E5B59" w:rsidRDefault="005B7136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Silme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onayı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alındıktan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sonra,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HİTAP’taki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açık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süre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bilgileri ile kamu görevinden ihraç edildiğine dair hizmet kayıtlarını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silinir.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Unvan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bilgilerinde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yarım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olan</w:t>
            </w:r>
          </w:p>
          <w:p w:rsidR="007E5B59" w:rsidRDefault="005B7136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kayıtlar</w:t>
            </w:r>
            <w:proofErr w:type="gramEnd"/>
            <w:r>
              <w:rPr>
                <w:sz w:val="28"/>
              </w:rPr>
              <w:t xml:space="preserve"> tam dönüştürülür.</w:t>
            </w:r>
          </w:p>
        </w:tc>
      </w:tr>
      <w:tr w:rsidR="007E5B59">
        <w:trPr>
          <w:trHeight w:val="1641"/>
        </w:trPr>
        <w:tc>
          <w:tcPr>
            <w:tcW w:w="2083" w:type="dxa"/>
          </w:tcPr>
          <w:p w:rsidR="007E5B59" w:rsidRDefault="005B7136">
            <w:pPr>
              <w:pStyle w:val="TableParagraph"/>
              <w:ind w:left="0"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 AŞAMA</w:t>
            </w:r>
          </w:p>
        </w:tc>
        <w:tc>
          <w:tcPr>
            <w:tcW w:w="7117" w:type="dxa"/>
          </w:tcPr>
          <w:p w:rsidR="007E5B59" w:rsidRDefault="005B7136">
            <w:pPr>
              <w:pStyle w:val="TableParagraph"/>
              <w:ind w:right="92"/>
              <w:rPr>
                <w:b/>
                <w:sz w:val="28"/>
              </w:rPr>
            </w:pPr>
            <w:r>
              <w:rPr>
                <w:sz w:val="28"/>
              </w:rPr>
              <w:t>Kişinin özlük durumuna bağlı olarak ihraç edildiği süre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 xml:space="preserve">ile iade edildiği tarih arasındaki süreyi kazanılmış hak aylığında derece/kademe ilerlemesi yapmak suretiyle değerlendirilir. </w:t>
            </w:r>
            <w:proofErr w:type="spellStart"/>
            <w:r>
              <w:rPr>
                <w:sz w:val="28"/>
              </w:rPr>
              <w:t>HİTAP’a</w:t>
            </w:r>
            <w:proofErr w:type="spellEnd"/>
            <w:r>
              <w:rPr>
                <w:sz w:val="28"/>
              </w:rPr>
              <w:t xml:space="preserve"> “</w:t>
            </w:r>
            <w:r>
              <w:rPr>
                <w:b/>
                <w:sz w:val="28"/>
              </w:rPr>
              <w:t>HİZMET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DEĞERLENDİRİLMESİ</w:t>
            </w:r>
          </w:p>
          <w:p w:rsidR="007E5B59" w:rsidRDefault="005B713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t>VE İNTİBAK</w:t>
            </w:r>
            <w:r>
              <w:rPr>
                <w:sz w:val="28"/>
              </w:rPr>
              <w:t>” seçeneği girilir.</w:t>
            </w:r>
          </w:p>
        </w:tc>
      </w:tr>
      <w:tr w:rsidR="007E5B59">
        <w:trPr>
          <w:trHeight w:val="1312"/>
        </w:trPr>
        <w:tc>
          <w:tcPr>
            <w:tcW w:w="2083" w:type="dxa"/>
          </w:tcPr>
          <w:p w:rsidR="007E5B59" w:rsidRDefault="005B7136">
            <w:pPr>
              <w:pStyle w:val="TableParagraph"/>
              <w:ind w:left="0" w:right="3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 AŞAMA</w:t>
            </w:r>
          </w:p>
        </w:tc>
        <w:tc>
          <w:tcPr>
            <w:tcW w:w="7117" w:type="dxa"/>
          </w:tcPr>
          <w:p w:rsidR="007E5B59" w:rsidRDefault="005B7136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 xml:space="preserve">Kişinin kayıtları silindikten sonra hizmet süreleri tutmayacağı için </w:t>
            </w:r>
            <w:proofErr w:type="spellStart"/>
            <w:r>
              <w:rPr>
                <w:sz w:val="28"/>
              </w:rPr>
              <w:t>HİTAP’ta</w:t>
            </w:r>
            <w:proofErr w:type="spellEnd"/>
            <w:r>
              <w:rPr>
                <w:sz w:val="28"/>
              </w:rPr>
              <w:t xml:space="preserve"> yer alan " </w:t>
            </w:r>
            <w:r>
              <w:rPr>
                <w:b/>
                <w:sz w:val="28"/>
              </w:rPr>
              <w:t xml:space="preserve">7075 S.K. 7145 S.K. EKL. GEÇ. 3. MD. 3. FIKRA GEREĞİ ATANMA” </w:t>
            </w:r>
            <w:r>
              <w:rPr>
                <w:sz w:val="28"/>
              </w:rPr>
              <w:t>kodunu</w:t>
            </w:r>
          </w:p>
          <w:p w:rsidR="007E5B59" w:rsidRDefault="005B7136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seçerek</w:t>
            </w:r>
            <w:proofErr w:type="gramEnd"/>
            <w:r>
              <w:rPr>
                <w:sz w:val="28"/>
              </w:rPr>
              <w:t xml:space="preserve"> kişinin sürelerinin normale dönmesi sağlanır.</w:t>
            </w:r>
          </w:p>
        </w:tc>
      </w:tr>
    </w:tbl>
    <w:p w:rsidR="005B7136" w:rsidRDefault="005B7136"/>
    <w:sectPr w:rsidR="005B7136">
      <w:type w:val="continuous"/>
      <w:pgSz w:w="11910" w:h="16840"/>
      <w:pgMar w:top="1320" w:right="9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5B59"/>
    <w:rsid w:val="00340BDF"/>
    <w:rsid w:val="005B7136"/>
    <w:rsid w:val="007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772"/>
  <w15:docId w15:val="{76F32BB2-725A-48B6-BBA5-FBCD798B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Kübra Karabal</cp:lastModifiedBy>
  <cp:revision>2</cp:revision>
  <dcterms:created xsi:type="dcterms:W3CDTF">2020-03-05T12:38:00Z</dcterms:created>
  <dcterms:modified xsi:type="dcterms:W3CDTF">2020-03-05T12:48:00Z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